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B42" w:rsidRDefault="00E5035E">
      <w:pPr>
        <w:pStyle w:val="normal"/>
        <w:spacing w:after="140" w:line="288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INSEGNAMENTO DELLA RELIGIONE CATTOLICA (IRC)</w:t>
      </w:r>
    </w:p>
    <w:tbl>
      <w:tblPr>
        <w:tblStyle w:val="a"/>
        <w:tblW w:w="160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4"/>
        <w:gridCol w:w="5336"/>
        <w:gridCol w:w="5336"/>
      </w:tblGrid>
      <w:tr w:rsidR="003F7B42" w:rsidTr="00BD4AC9">
        <w:tc>
          <w:tcPr>
            <w:tcW w:w="16006" w:type="dxa"/>
            <w:gridSpan w:val="3"/>
            <w:tcMar>
              <w:left w:w="108" w:type="dxa"/>
            </w:tcMar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058"/>
              <w:gridCol w:w="12515"/>
            </w:tblGrid>
            <w:tr w:rsidR="00BD4AC9" w:rsidRPr="00C509A7" w:rsidTr="00BD4AC9">
              <w:tc>
                <w:tcPr>
                  <w:tcW w:w="1557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SEZIONE A: Traguardi formativi</w:t>
                  </w:r>
                </w:p>
              </w:tc>
            </w:tr>
            <w:tr w:rsidR="00BD4AC9" w:rsidRPr="00C509A7" w:rsidTr="00BD4AC9">
              <w:tc>
                <w:tcPr>
                  <w:tcW w:w="3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COMPETENZA CHIAVE EUROPEA:</w:t>
                  </w:r>
                </w:p>
              </w:tc>
              <w:tc>
                <w:tcPr>
                  <w:tcW w:w="12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Consapevolezza ed espressione culturale.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Imparare a imparare.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Competenze sociali e civiche.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Senso di iniziativa e imprenditorialità.</w:t>
                  </w:r>
                </w:p>
              </w:tc>
            </w:tr>
            <w:tr w:rsidR="00BD4AC9" w:rsidRPr="00C509A7" w:rsidTr="00BD4AC9">
              <w:tc>
                <w:tcPr>
                  <w:tcW w:w="3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Fonti di legittimazione:</w:t>
                  </w:r>
                </w:p>
              </w:tc>
              <w:tc>
                <w:tcPr>
                  <w:tcW w:w="12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Raccomandazione del Parlamento Europeo e del Consiglio 18.12.2006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Indicazioni Nazionali per il Curricolo 2012, appendice: integrazioni alle Indicazioni nazionali relative all’insegnamento della religione cattolica (DPR 11 febbraio 2010)</w:t>
                  </w:r>
                </w:p>
              </w:tc>
            </w:tr>
          </w:tbl>
          <w:p w:rsidR="003F7B42" w:rsidRDefault="003F7B42">
            <w:pPr>
              <w:pStyle w:val="normal"/>
              <w:jc w:val="center"/>
            </w:pPr>
          </w:p>
        </w:tc>
      </w:tr>
      <w:tr w:rsidR="003F7B42" w:rsidTr="00BD4AC9">
        <w:tc>
          <w:tcPr>
            <w:tcW w:w="16006" w:type="dxa"/>
            <w:gridSpan w:val="3"/>
            <w:tcMar>
              <w:left w:w="108" w:type="dxa"/>
            </w:tcMar>
          </w:tcPr>
          <w:p w:rsidR="003F7B42" w:rsidRDefault="00E5035E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FINE SCUOLA SECONDARIA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PRIMO GRADO</w:t>
            </w:r>
          </w:p>
        </w:tc>
      </w:tr>
      <w:tr w:rsidR="003F7B42" w:rsidTr="00BD4AC9">
        <w:tc>
          <w:tcPr>
            <w:tcW w:w="5334" w:type="dxa"/>
            <w:tcMar>
              <w:left w:w="108" w:type="dxa"/>
            </w:tcMar>
          </w:tcPr>
          <w:p w:rsidR="003F7B42" w:rsidRDefault="00E5035E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5336" w:type="dxa"/>
            <w:tcMar>
              <w:left w:w="108" w:type="dxa"/>
            </w:tcMar>
          </w:tcPr>
          <w:p w:rsidR="003F7B42" w:rsidRDefault="00E5035E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5336" w:type="dxa"/>
            <w:tcMar>
              <w:left w:w="108" w:type="dxa"/>
            </w:tcMar>
          </w:tcPr>
          <w:p w:rsidR="003F7B42" w:rsidRDefault="00E5035E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F7B42" w:rsidTr="00BD4AC9">
        <w:tc>
          <w:tcPr>
            <w:tcW w:w="5334" w:type="dxa"/>
            <w:tcMar>
              <w:left w:w="108" w:type="dxa"/>
            </w:tcMar>
          </w:tcPr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Individua, a partire dalla Bibbia, le tappe essenziali e i dati oggettivi della storia della salvezza, della vita e dell’insegnamento di Gesù, del Cristianesimo delle origini. Ricostruisce gli elementi fondamentali della storia della Chiesa e li confronta con le vicende della storia civile passata e recente elaborando criteri per avviarne una interpretazione consapevole.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Riconosce i linguaggi espressivi della fede (simboli, preghiere, riti, ecc.), ne individua le </w:t>
            </w: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tracce presenti in ambito locale, italiano, europeo e nel mondo imparando ad apprezzarli dal punto di vista artistico, culturale e spirituale.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Coglie le implicazioni etiche della fede cristiana e le rende oggetto di riflessione in vista di scelte di vita progettuali e responsabili. Inizia a confrontarsi con la complessità dell’esistenza e impara a dare valore ai propri comportamenti, per relazionarsi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maniera armoniosa con se stesso, con gli altri, con il mondo che lo circonda.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  <w:bookmarkStart w:id="0" w:name="_gjdgxs" w:colFirst="0" w:colLast="0"/>
            <w:bookmarkEnd w:id="0"/>
          </w:p>
          <w:p w:rsidR="003F7B42" w:rsidRDefault="003F7B42">
            <w:pPr>
              <w:pStyle w:val="normal"/>
              <w:jc w:val="both"/>
            </w:pPr>
          </w:p>
        </w:tc>
        <w:tc>
          <w:tcPr>
            <w:tcW w:w="5336" w:type="dxa"/>
            <w:tcMar>
              <w:left w:w="108" w:type="dxa"/>
            </w:tcMar>
          </w:tcPr>
          <w:p w:rsidR="003F7B42" w:rsidRPr="00390363" w:rsidRDefault="00390363">
            <w:pPr>
              <w:pStyle w:val="normal"/>
              <w:jc w:val="both"/>
              <w:rPr>
                <w:i/>
              </w:rPr>
            </w:pPr>
            <w:r w:rsidRPr="003903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Ambito tematico: </w:t>
            </w:r>
            <w:r w:rsidR="00E5035E" w:rsidRPr="003903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Dio e l'uomo</w:t>
            </w: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Cogliere nelle domande dell’uomo e in tante sue esperienze tracce di una ricerca religiosa.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Comprendere alcune categorie fondamentali della fede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ebraico-cristiana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confrontarle con quelle di altre maggiori religioni.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Approfondire l’identità storica, la predicazione e l’opera di Gesù e correlarle alla fede cristiana.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Conoscere l’evoluzione storica e il cammino ecumenico della Chiesa cattolica che riconosce in essa l’azione dello Spirito Santo.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Confrontare la prospettiva della fede cristiana e i risultati della scienza come letture distinte ma non conflittuali dell’uomo e del mondo.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Pr="00390363" w:rsidRDefault="00390363">
            <w:pPr>
              <w:pStyle w:val="normal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Ambito tematico: </w:t>
            </w:r>
            <w:r w:rsidR="00E5035E" w:rsidRPr="003903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Bibbia e le altre fonti</w:t>
            </w: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Saper adoperare la Bibbia come documento storico-culturale e apprendere che nella fede della Chiesa è accolta come Parola di Dio.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Individuare il contenuto centrale di alcuni testi biblici.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Individuare i testi biblici che hanno ispirato le principali produzioni artistiche (letterarie,musicali, pittoriche...) italiane ed europee. </w:t>
            </w:r>
          </w:p>
          <w:p w:rsidR="00390363" w:rsidRPr="00390363" w:rsidRDefault="00390363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Ambito tematico: </w:t>
            </w:r>
            <w:r w:rsidR="00E5035E" w:rsidRPr="003903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 linguaggio religioso</w:t>
            </w: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Comprendere il significato principale dei simboli religiosi, delle celebrazioni liturgiche e dei sacramenti della Chiesa.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Riconoscere il messaggio cristiano nell’arte e nella cultura in Italia e in Europa.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Individuare gli elementi specifici della preghiera cristiana e farne anche un confronto con quelli di altre religioni.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Focalizzare le strutture e i significati dei luoghi sacri dall’antichità ai nostri giorni.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Pr="00390363" w:rsidRDefault="00390363">
            <w:pPr>
              <w:pStyle w:val="normal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Ambito tematico: </w:t>
            </w:r>
            <w:r w:rsidR="00E5035E" w:rsidRPr="003903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Valori etici e religiosi</w:t>
            </w: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Cogliere nelle domande dell’uomo e in tante sue esperienze tracce di una ricerca religiosa.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Riconoscere l’originalità della speranza cristiana, in risposta al bisogno di salvezza della condizione umana.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Saper esporre le principali motivazioni che sostengono le scelte etiche dei cattolici in un contesto di pluralismo culturale e religioso. 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Confrontarsi con la proposta cristiana di vita come contributo originale per la realizzazione di un progetto libero e responsabile. </w:t>
            </w:r>
          </w:p>
        </w:tc>
        <w:tc>
          <w:tcPr>
            <w:tcW w:w="5336" w:type="dxa"/>
            <w:tcMar>
              <w:left w:w="108" w:type="dxa"/>
            </w:tcMar>
          </w:tcPr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sans-serif" w:eastAsia="sans-serif" w:hAnsi="sans-serif" w:cs="sans-serif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politeismo al monoteismo (conoscenza di alcune religioni dell'antichità).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Altre religioni (Ebraismo, Islam, etc.).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 tappe della storia della Salvezza.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La Palestina: contesto storico-sociale ai tempi di Gesù.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La figura di Gesù e la Sua missione, con attenzione agli eventi della Morte e della Risurrezione.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Scienza e fede.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      <w:drawing>
                  <wp:anchor allowOverlap="1" behindDoc="0" distB="101600" distT="0" distL="0" distR="0" hidden="0" layoutInCell="0" locked="0" relativeHeight="0" simplePos="0">
                    <wp:simplePos x="0" y="0"/>
                    <wp:positionH relativeFrom="margin">
                      <wp:posOffset>-3454399</wp:posOffset>
                    </wp:positionH>
                    <wp:positionV relativeFrom="paragraph">
                      <wp:posOffset>139700</wp:posOffset>
                    </wp:positionV>
                    <wp:extent cx="6781800" cy="2540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959840" y="3771360"/>
                              <a:ext cx="6772320" cy="172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101600" distL="0" distR="0" simplePos="0" relativeHeight="251658240" behindDoc="0" locked="0" layoutInCell="0" allowOverlap="1">
                      <wp:simplePos x="0" y="0"/>
                      <wp:positionH relativeFrom="margin">
                        <wp:posOffset>-3454399</wp:posOffset>
                      </wp:positionH>
                      <wp:positionV relativeFrom="paragraph">
                        <wp:posOffset>139700</wp:posOffset>
                      </wp:positionV>
                      <wp:extent cx="6781800" cy="25400"/>
                      <wp:effectExtent l="0" t="0" r="0" b="0"/>
                      <wp:wrapNone/>
                      <wp:docPr id="2" name="image0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1800" cy="25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La Bibbia come libro scritto da uomini e Parola di Dio. Sua formazione e suddivisione nelle versioni giunte fino ad oggi (Ebraica e Cristiana).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Il sistema di citazione biblico.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L'Antico e il Nuovo Testamento.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 prime comunità cristiane.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Altre confessioni cristiane (Ortodossi, Protestanti, etc.).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Alcune tappe della storia della Chiesa dall'antichità ai nostri giorni.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L'Anno Liturgico ed i Sacramenti.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E5035E">
            <w:pPr>
              <w:pStyle w:val="normal"/>
              <w:jc w:val="both"/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      <w:drawing>
                  <wp:anchor allowOverlap="1" behindDoc="0" distB="101600" distT="0" distL="0" distR="0" hidden="0" layoutInCell="0" locked="0" relativeHeight="0" simplePos="0">
                    <wp:simplePos x="0" y="0"/>
                    <wp:positionH relativeFrom="margin">
                      <wp:posOffset>-3454399</wp:posOffset>
                    </wp:positionH>
                    <wp:positionV relativeFrom="paragraph">
                      <wp:posOffset>381000</wp:posOffset>
                    </wp:positionV>
                    <wp:extent cx="6769100" cy="1270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962359" y="3772619"/>
                              <a:ext cx="6767279" cy="147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101600" distL="0" distR="0" simplePos="0" relativeHeight="251659264" behindDoc="0" locked="0" layoutInCell="0" allowOverlap="1">
                      <wp:simplePos x="0" y="0"/>
                      <wp:positionH relativeFrom="margin">
                        <wp:posOffset>-3454399</wp:posOffset>
                      </wp:positionH>
                      <wp:positionV relativeFrom="paragraph">
                        <wp:posOffset>381000</wp:posOffset>
                      </wp:positionV>
                      <wp:extent cx="6769100" cy="12700"/>
                      <wp:effectExtent l="0" t="0" r="0" b="0"/>
                      <wp:wrapNone/>
                      <wp:docPr id="1" name="image0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910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spacing w:after="140" w:line="288" w:lineRule="auto"/>
            </w:pPr>
          </w:p>
          <w:p w:rsidR="003F7B42" w:rsidRDefault="00E5035E">
            <w:pPr>
              <w:pStyle w:val="normal"/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 Dieci Comandamenti, il Comandamento dell'amore e le Beatitudini.</w:t>
            </w:r>
          </w:p>
          <w:p w:rsidR="003F7B42" w:rsidRDefault="003F7B42">
            <w:pPr>
              <w:pStyle w:val="normal"/>
              <w:spacing w:line="288" w:lineRule="auto"/>
              <w:jc w:val="both"/>
            </w:pPr>
          </w:p>
          <w:p w:rsidR="003F7B42" w:rsidRDefault="00E5035E">
            <w:pPr>
              <w:pStyle w:val="normal"/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La persona, tra diritti fondamentali, come la libertà, e sentimenti, come l'amore, in vista della realizzazione di sé.</w:t>
            </w:r>
          </w:p>
          <w:p w:rsidR="003F7B42" w:rsidRDefault="003F7B42">
            <w:pPr>
              <w:pStyle w:val="normal"/>
              <w:spacing w:line="288" w:lineRule="auto"/>
              <w:jc w:val="both"/>
            </w:pPr>
          </w:p>
          <w:p w:rsidR="003F7B42" w:rsidRDefault="00E5035E">
            <w:pPr>
              <w:pStyle w:val="normal"/>
              <w:spacing w:line="288" w:lineRule="auto"/>
              <w:jc w:val="both"/>
            </w:pPr>
            <w: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L'etica cristiana di fronte alle ingiustizie del mondo.</w:t>
            </w: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  <w:p w:rsidR="003F7B42" w:rsidRDefault="003F7B42">
            <w:pPr>
              <w:pStyle w:val="normal"/>
              <w:jc w:val="both"/>
            </w:pPr>
          </w:p>
        </w:tc>
      </w:tr>
    </w:tbl>
    <w:p w:rsidR="003F7B42" w:rsidRDefault="003F7B42">
      <w:pPr>
        <w:pStyle w:val="normal"/>
      </w:pPr>
    </w:p>
    <w:sectPr w:rsidR="003F7B42" w:rsidSect="003F7B42">
      <w:pgSz w:w="16838" w:h="11906"/>
      <w:pgMar w:top="709" w:right="395" w:bottom="426" w:left="42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1F4"/>
    <w:multiLevelType w:val="hybridMultilevel"/>
    <w:tmpl w:val="1F30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3F7B42"/>
    <w:rsid w:val="00204CD9"/>
    <w:rsid w:val="00390363"/>
    <w:rsid w:val="003F7B42"/>
    <w:rsid w:val="00991BA2"/>
    <w:rsid w:val="009F35CD"/>
    <w:rsid w:val="00BD4AC9"/>
    <w:rsid w:val="00E5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BA2"/>
  </w:style>
  <w:style w:type="paragraph" w:styleId="Titolo1">
    <w:name w:val="heading 1"/>
    <w:basedOn w:val="normal"/>
    <w:next w:val="normal"/>
    <w:rsid w:val="003F7B4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F7B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F7B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F7B4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F7B42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3F7B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7B42"/>
  </w:style>
  <w:style w:type="table" w:customStyle="1" w:styleId="TableNormal">
    <w:name w:val="Table Normal"/>
    <w:rsid w:val="003F7B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F7B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F7B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7B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390363"/>
    <w:pPr>
      <w:suppressAutoHyphens/>
      <w:spacing w:line="254" w:lineRule="auto"/>
    </w:pPr>
    <w:rPr>
      <w:rFonts w:eastAsia="SimSu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BD4A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</dc:creator>
  <cp:lastModifiedBy>Giuseppe Boninsegna</cp:lastModifiedBy>
  <cp:revision>5</cp:revision>
  <dcterms:created xsi:type="dcterms:W3CDTF">2016-09-09T07:44:00Z</dcterms:created>
  <dcterms:modified xsi:type="dcterms:W3CDTF">2016-09-26T07:43:00Z</dcterms:modified>
</cp:coreProperties>
</file>