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keepNext/>
        <w:keepLines w:val="false"/>
        <w:widowControl w:val="false"/>
        <w:spacing w:after="0" w:before="0" w:line="276" w:lineRule="auto"/>
        <w:ind w:hanging="0" w:left="0" w:right="0"/>
        <w:contextualSpacing w:val="false"/>
        <w:jc w:val="left"/>
      </w:pPr>
      <w:r>
        <w:rPr/>
      </w:r>
    </w:p>
    <w:tbl>
      <w:tblPr>
        <w:jc w:val="left"/>
        <w:tblInd w:type="dxa" w:w="-11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006"/>
      </w:tblGrid>
      <w:tr>
        <w:trPr>
          <w:cantSplit w:val="false"/>
        </w:trPr>
        <w:tc>
          <w:tcPr>
            <w:tcW w:type="dxa" w:w="16006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i/>
                <w:sz w:val="24"/>
                <w:szCs w:val="24"/>
              </w:rPr>
              <w:t>SEZIONE A: Traguardi formativi</w:t>
            </w:r>
          </w:p>
        </w:tc>
      </w:tr>
      <w:tr>
        <w:trPr>
          <w:cantSplit w:val="false"/>
        </w:trPr>
        <w:tc>
          <w:tcPr>
            <w:tcW w:type="dxa" w:w="31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Arial Narrow" w:cs="Arial Narrow" w:eastAsia="Arial Narrow" w:hAnsi="Arial Narrow"/>
                <w:b/>
                <w:sz w:val="18"/>
                <w:szCs w:val="18"/>
              </w:rPr>
              <w:t>COMPETENZA CHIAVE EUROPEA:</w:t>
            </w:r>
          </w:p>
        </w:tc>
        <w:tc>
          <w:tcPr>
            <w:tcW w:type="dxa" w:w="12892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1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Arial Narrow" w:cs="Arial Narrow" w:eastAsia="Arial Narrow" w:hAnsi="Arial Narrow"/>
                <w:b/>
                <w:sz w:val="18"/>
                <w:szCs w:val="18"/>
              </w:rPr>
              <w:t>Fonti di legittimazione:</w:t>
            </w:r>
          </w:p>
        </w:tc>
        <w:tc>
          <w:tcPr>
            <w:tcW w:type="dxa" w:w="12892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Raccomandazione del Parlamento Europeo e del Consiglio 18.12.2006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Indicazioni Nazionali per il Curricolo 2012</w:t>
            </w:r>
          </w:p>
        </w:tc>
      </w:tr>
      <w:tr>
        <w:trPr>
          <w:cantSplit w:val="false"/>
        </w:trPr>
        <w:tc>
          <w:tcPr>
            <w:tcW w:type="dxa" w:w="16006"/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FINE SCUOLA SECONDARIA DI PRIMO GRADO</w:t>
            </w:r>
          </w:p>
        </w:tc>
      </w:tr>
      <w:tr>
        <w:trPr>
          <w:cantSplit w:val="false"/>
        </w:trPr>
        <w:tc>
          <w:tcPr>
            <w:tcW w:type="dxa" w:w="533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type="dxa" w:w="53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type="dxa" w:w="53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CONOSCENZE</w:t>
            </w:r>
          </w:p>
        </w:tc>
      </w:tr>
      <w:tr>
        <w:trPr>
          <w:cantSplit w:val="false"/>
        </w:trPr>
        <w:tc>
          <w:tcPr>
            <w:tcW w:type="dxa" w:w="533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L'alunno è consapevole delle proprie competenze motorie sia nei punti di forza che nei limiti. 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2. Utilizza le abilità motorie e sportive acquisite adattando il movimento in situazione.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 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3. Utilizza gli aspetti comunicativo-relazionali del linguaggio motorio per entrare in relazione con gli altri praticando, inoltre, attivamente i valori sportivi (fair - play) come modalità di relazione quotidiana e di rispetto delle regole. 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4. Riconosce, ricerca e applica a se stesso comportamenti di promozione dello "star bene" in ordine a un sano stile di vita e alla prevenzione. 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5. Rispetta criteri base di sicurezza per sé e per gli altri. 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6. È capace di integrarsi nel gruppo, di assumersi responsabilità e di impegnarsi per il bene comune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  <w:p>
            <w:pPr>
              <w:pStyle w:val="style0"/>
              <w:spacing w:after="160" w:before="0"/>
              <w:contextualSpacing w:val="false"/>
            </w:pPr>
            <w:bookmarkStart w:id="0" w:name="_gjdgxs"/>
            <w:bookmarkStart w:id="1" w:name="_gjdgxs"/>
            <w:bookmarkEnd w:id="1"/>
            <w:r>
              <w:rPr/>
            </w:r>
          </w:p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533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 corpo e la sua relazione con lo spazio e il tempo 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1. Coordina e utilizza diversi schemi motori combinati tra loro inizialmente in forma successiva e poi in forma simultanea (correre / saltare, afferrare / lanciare, ecc). 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2. Riconosce e valuta traiettorie, distanze, ritmi esecutivi e successioni temporali delle azioni motorie, sapendo organizzare il proprio movimento nello spazio in relazione a sé, agli oggetti, agli altri. Il linguaggio del corpo come modalità comunicativo-espressiva 1. Utilizza in forma originale e creativa modalità espressive e corporee.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 Elabora ed esegue semplici sequenze di movimento. 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 gioco, lo sport, le regole e il fair play 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1. Conosce e applica correttamente modalità esecutive di diverse proposte di giocosport. 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Partecipa attivamente alle varie forme di gioco , organizzate anche in forma di gara, collaborando co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n i compagni e l'insegnante .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Salute e benessere, prevenzione e sicurezza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1. Essere in grado di conoscere i cambiamenti morfologici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2.  Essere in grado di lavorare in modo graduale e distribuire le proprie energie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3. Saper utilizzare correttamente gli attrezzi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4. Saper adottare comportamenti appropriati per la sicurezza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5. Essere in grado di valutare gli effetti positivi del  movimento e gli effeti nocivi di sostanze illecite.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</w:tc>
        <w:tc>
          <w:tcPr>
            <w:tcW w:type="dxa" w:w="53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Il corpo e la sua relazione con lo spazio e il tempo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Conoscenze e compiti significativi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esercizi per migliorare la resistenza (corsa lenta e prolungata, ripetute, circuiti e percorsi, gara di corsa campestre, fartlek).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-esercizi per migliorare la mobilità articolare (esercizi individuali con piccoli attrezzi e a corpo libero, spalliera,   stretching).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esercizi per migliorare la forza (es. a corpo libero per tonificare addominali,dorsali, gambe, utilizzo di piccoli attrezzi, la spalliera ed il palco di salita).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esercizi per migliorare la rapidità (scatti, allunghi, skipp, balzi e andature, gara di velocità)</w:t>
            </w:r>
          </w:p>
          <w:p>
            <w:pPr>
              <w:pStyle w:val="style0"/>
              <w:spacing w:after="160" w:before="0" w:line="256" w:lineRule="auto"/>
              <w:contextualSpacing w:val="false"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Il linguaggio del corpo come modalità comunicativo-espressiv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a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Conoscenze e compiti significativi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attività di espressione corporea.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-rappresentazione di idee e stati d’animo mediante l’utilizzo del linguaggio corporeo</w:t>
            </w:r>
          </w:p>
          <w:p>
            <w:pPr>
              <w:pStyle w:val="style0"/>
              <w:spacing w:after="160" w:before="0" w:line="256" w:lineRule="auto"/>
              <w:contextualSpacing w:val="false"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Il gioco, lo sport, le regole e il fair pla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y</w:t>
            </w:r>
          </w:p>
          <w:p>
            <w:pPr>
              <w:pStyle w:val="style0"/>
              <w:spacing w:after="160" w:before="0" w:line="256" w:lineRule="auto"/>
              <w:contextualSpacing w:val="false"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Conoscenze e compiti significativi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esercizi per migliorare la destrezza, l’equilibrio, la capacità di orientamento, il ritmo.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esercizi per sviluppare la fantasia motoria, la reazione motoria, la memorizzazione motoria.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praticare nel rispetto delle regole i seguenti sport: palla rilanciata, palla prigioniera, basket, pallavolo, pallamano, rugby e badminton.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- atletica leggera: velocità, salto ostacoli, lungo.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attività per imparare a rispettare compagni, avversari ed arbitri.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esercizi per migliorare la collaborazione.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 partecipare alle attività competitive con atteggiamenti corretti e leali, con autocontrollo e rispetto per l’altro, accettando anche la sconfitta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/>
            </w:r>
          </w:p>
          <w:p>
            <w:pPr>
              <w:pStyle w:val="style0"/>
              <w:spacing w:after="160" w:before="0" w:line="256" w:lineRule="auto"/>
              <w:contextualSpacing w:val="false"/>
              <w:jc w:val="left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Salute e benessere, prevenzione e sicurezza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Conoscenze e compii significativi 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attività per sviluppare la presa di coscienza delle funzioni fisiologiche e dei cambiamenti fisici in relazione all’età e all’esercizio motorio.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-attività per migliorare il controllo respiratorio.</w:t>
            </w:r>
          </w:p>
          <w:p>
            <w:pPr>
              <w:pStyle w:val="style0"/>
              <w:spacing w:after="16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-gestire gli attrezzi salvaguardando la sicurezza propria e dei compag</w:t>
            </w:r>
            <w:r>
              <w:rPr>
                <w:rFonts w:ascii="Times New Roman" w:cs="Times New Roman" w:eastAsia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ni</w:t>
            </w:r>
          </w:p>
        </w:tc>
      </w:tr>
    </w:tbl>
    <w:p>
      <w:pPr>
        <w:pStyle w:val="style0"/>
        <w:spacing w:after="160" w:before="0"/>
        <w:contextualSpacing w:val="false"/>
      </w:pPr>
      <w:r>
        <w:rPr/>
      </w:r>
    </w:p>
    <w:sectPr>
      <w:type w:val="nextPage"/>
      <w:pgSz w:h="11906" w:w="16838"/>
      <w:pgMar w:bottom="426" w:footer="0" w:gutter="0" w:header="0" w:left="426" w:right="395" w:top="709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keepNext/>
      <w:keepLines w:val="false"/>
      <w:widowControl/>
      <w:suppressAutoHyphens w:val="true"/>
      <w:spacing w:after="160" w:before="0" w:line="256" w:lineRule="auto"/>
      <w:ind w:hanging="0" w:left="0" w:right="0"/>
      <w:contextualSpacing w:val="false"/>
      <w:jc w:val="left"/>
    </w:pPr>
    <w:rPr>
      <w:rFonts w:ascii="Calibri" w:cs="Calibri" w:eastAsia="Calibri" w:hAnsi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bidi="hi-IN" w:eastAsia="zh-CN" w:val="it-IT"/>
    </w:rPr>
  </w:style>
  <w:style w:styleId="style1" w:type="paragraph">
    <w:name w:val="Intestazione 1"/>
    <w:basedOn w:val="style20"/>
    <w:next w:val="style1"/>
    <w:pPr>
      <w:keepNext/>
      <w:keepLines/>
      <w:spacing w:after="120" w:before="480" w:line="100" w:lineRule="atLeast"/>
      <w:contextualSpacing/>
    </w:pPr>
    <w:rPr>
      <w:b/>
      <w:sz w:val="48"/>
      <w:szCs w:val="48"/>
    </w:rPr>
  </w:style>
  <w:style w:styleId="style2" w:type="paragraph">
    <w:name w:val="Intestazione 2"/>
    <w:basedOn w:val="style20"/>
    <w:next w:val="style2"/>
    <w:pPr>
      <w:keepNext/>
      <w:keepLines/>
      <w:spacing w:after="80" w:before="360" w:line="100" w:lineRule="atLeast"/>
      <w:contextualSpacing/>
    </w:pPr>
    <w:rPr>
      <w:b/>
      <w:sz w:val="36"/>
      <w:szCs w:val="36"/>
    </w:rPr>
  </w:style>
  <w:style w:styleId="style3" w:type="paragraph">
    <w:name w:val="Intestazione 3"/>
    <w:basedOn w:val="style20"/>
    <w:next w:val="style3"/>
    <w:pPr>
      <w:keepNext/>
      <w:keepLines/>
      <w:spacing w:after="80" w:before="280" w:line="100" w:lineRule="atLeast"/>
      <w:contextualSpacing/>
    </w:pPr>
    <w:rPr>
      <w:b/>
      <w:sz w:val="28"/>
      <w:szCs w:val="28"/>
    </w:rPr>
  </w:style>
  <w:style w:styleId="style4" w:type="paragraph">
    <w:name w:val="Intestazione 4"/>
    <w:basedOn w:val="style20"/>
    <w:next w:val="style4"/>
    <w:pPr>
      <w:keepNext/>
      <w:keepLines/>
      <w:spacing w:after="40" w:before="240" w:line="100" w:lineRule="atLeast"/>
      <w:contextualSpacing/>
    </w:pPr>
    <w:rPr>
      <w:b/>
      <w:sz w:val="24"/>
      <w:szCs w:val="24"/>
    </w:rPr>
  </w:style>
  <w:style w:styleId="style5" w:type="paragraph">
    <w:name w:val="Intestazione 5"/>
    <w:basedOn w:val="style20"/>
    <w:next w:val="style5"/>
    <w:pPr>
      <w:keepNext/>
      <w:keepLines/>
      <w:spacing w:after="40" w:before="220" w:line="100" w:lineRule="atLeast"/>
      <w:contextualSpacing/>
    </w:pPr>
    <w:rPr>
      <w:b/>
      <w:sz w:val="22"/>
      <w:szCs w:val="22"/>
    </w:rPr>
  </w:style>
  <w:style w:styleId="style6" w:type="paragraph">
    <w:name w:val="Intestazione 6"/>
    <w:basedOn w:val="style20"/>
    <w:next w:val="style6"/>
    <w:pPr>
      <w:keepNext/>
      <w:keepLines/>
      <w:spacing w:after="40" w:before="200" w:line="100" w:lineRule="atLeast"/>
      <w:contextualSpacing/>
    </w:pPr>
    <w:rPr>
      <w:b/>
      <w:sz w:val="20"/>
      <w:szCs w:val="20"/>
    </w:rPr>
  </w:style>
  <w:style w:styleId="style15" w:type="paragraph">
    <w:name w:val="Intestazione"/>
    <w:basedOn w:val="style0"/>
    <w:next w:val="style16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6" w:type="paragraph">
    <w:name w:val="Corpo del testo"/>
    <w:basedOn w:val="style0"/>
    <w:next w:val="style16"/>
    <w:pPr>
      <w:spacing w:after="120" w:before="0"/>
      <w:contextualSpacing w:val="false"/>
    </w:pPr>
    <w:rPr/>
  </w:style>
  <w:style w:styleId="style17" w:type="paragraph">
    <w:name w:val="Elenco"/>
    <w:basedOn w:val="style16"/>
    <w:next w:val="style17"/>
    <w:pPr/>
    <w:rPr>
      <w:rFonts w:cs="Mangal"/>
    </w:rPr>
  </w:style>
  <w:style w:styleId="style18" w:type="paragraph">
    <w:name w:val="Didascalia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ice"/>
    <w:basedOn w:val="style0"/>
    <w:next w:val="style19"/>
    <w:pPr>
      <w:suppressLineNumbers/>
    </w:pPr>
    <w:rPr>
      <w:rFonts w:cs="Mangal"/>
    </w:rPr>
  </w:style>
  <w:style w:styleId="style20" w:type="paragraph">
    <w:name w:val="LO-normal"/>
    <w:next w:val="style20"/>
    <w:pPr>
      <w:keepNext/>
      <w:keepLines w:val="false"/>
      <w:widowControl/>
      <w:suppressAutoHyphens w:val="true"/>
      <w:spacing w:after="160" w:before="0" w:line="256" w:lineRule="auto"/>
      <w:ind w:hanging="0" w:left="0" w:right="0"/>
      <w:contextualSpacing w:val="false"/>
      <w:jc w:val="left"/>
    </w:pPr>
    <w:rPr>
      <w:rFonts w:ascii="Calibri" w:cs="Calibri" w:eastAsia="Calibri" w:hAnsi="Calibri"/>
      <w:b w:val="false"/>
      <w:i w:val="false"/>
      <w:caps w:val="false"/>
      <w:smallCaps w:val="false"/>
      <w:strike w:val="false"/>
      <w:dstrike w:val="false"/>
      <w:color w:val="auto"/>
      <w:position w:val="0"/>
      <w:sz w:val="22"/>
      <w:sz w:val="22"/>
      <w:szCs w:val="22"/>
      <w:u w:val="none"/>
      <w:vertAlign w:val="baseline"/>
      <w:lang w:bidi="hi-IN" w:eastAsia="zh-CN" w:val="it-IT"/>
    </w:rPr>
  </w:style>
  <w:style w:styleId="style21" w:type="paragraph">
    <w:name w:val="Titolo"/>
    <w:basedOn w:val="style20"/>
    <w:next w:val="style21"/>
    <w:pPr>
      <w:keepNext/>
      <w:keepLines/>
      <w:spacing w:after="120" w:before="480" w:line="100" w:lineRule="atLeast"/>
      <w:contextualSpacing/>
    </w:pPr>
    <w:rPr>
      <w:b/>
      <w:sz w:val="72"/>
      <w:szCs w:val="72"/>
    </w:rPr>
  </w:style>
  <w:style w:styleId="style22" w:type="paragraph">
    <w:name w:val="Sottotitolo"/>
    <w:basedOn w:val="style20"/>
    <w:next w:val="style22"/>
    <w:pPr>
      <w:keepNext/>
      <w:keepLines/>
      <w:spacing w:after="80" w:before="360" w:line="100" w:lineRule="atLeast"/>
      <w:contextualSpacing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